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9EA7">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济南市文化和旅游局</w:t>
      </w:r>
    </w:p>
    <w:p w14:paraId="75E0A43B">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2025年度法治政府建设报告</w:t>
      </w:r>
    </w:p>
    <w:p w14:paraId="70214CBD">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14:paraId="66D5C5B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2025年，在市委、市政府的坚强领导下，市文化和旅游局坚持以习近平新时代中国特色社会主义思想为指导，深入学习宣传贯彻习近平法治思想，认真贯彻落实</w:t>
      </w:r>
      <w:r>
        <w:rPr>
          <w:rFonts w:hint="default" w:ascii="仿宋_GB2312" w:hAnsi="仿宋_GB2312" w:eastAsia="仿宋_GB2312" w:cs="仿宋_GB2312"/>
          <w:bCs/>
          <w:color w:val="000000"/>
          <w:sz w:val="32"/>
          <w:szCs w:val="32"/>
          <w:lang w:val="en-US" w:eastAsia="zh-CN"/>
        </w:rPr>
        <w:t>习近平总书记对全面依法治国工作作出</w:t>
      </w:r>
      <w:r>
        <w:rPr>
          <w:rFonts w:hint="eastAsia" w:ascii="仿宋_GB2312" w:hAnsi="仿宋_GB2312" w:eastAsia="仿宋_GB2312" w:cs="仿宋_GB2312"/>
          <w:bCs/>
          <w:color w:val="000000"/>
          <w:sz w:val="32"/>
          <w:szCs w:val="32"/>
          <w:lang w:val="en-US" w:eastAsia="zh-CN"/>
        </w:rPr>
        <w:t>的</w:t>
      </w:r>
      <w:r>
        <w:rPr>
          <w:rFonts w:hint="default" w:ascii="仿宋_GB2312" w:hAnsi="仿宋_GB2312" w:eastAsia="仿宋_GB2312" w:cs="仿宋_GB2312"/>
          <w:bCs/>
          <w:color w:val="000000"/>
          <w:sz w:val="32"/>
          <w:szCs w:val="32"/>
          <w:lang w:val="en-US" w:eastAsia="zh-CN"/>
        </w:rPr>
        <w:t>重要</w:t>
      </w:r>
      <w:r>
        <w:rPr>
          <w:rFonts w:hint="eastAsia" w:ascii="仿宋_GB2312" w:hAnsi="仿宋_GB2312" w:eastAsia="仿宋_GB2312" w:cs="仿宋_GB2312"/>
          <w:bCs/>
          <w:color w:val="000000"/>
          <w:sz w:val="32"/>
          <w:szCs w:val="32"/>
          <w:lang w:val="en-US" w:eastAsia="zh-CN"/>
        </w:rPr>
        <w:t>指示精神</w:t>
      </w:r>
      <w:r>
        <w:rPr>
          <w:rFonts w:hint="eastAsia" w:ascii="仿宋_GB2312" w:hAnsi="仿宋_GB2312" w:eastAsia="仿宋_GB2312" w:cs="仿宋_GB2312"/>
          <w:sz w:val="32"/>
          <w:szCs w:val="32"/>
          <w:lang w:val="en-US" w:eastAsia="zh-CN"/>
        </w:rPr>
        <w:t>，不断提升依法行政水平和政府行政效能，优化法治化营商环境，为全市文化和旅游高质量发展提供坚实的法治保障。</w:t>
      </w:r>
    </w:p>
    <w:p w14:paraId="2260B06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一、党政主要负责人履行推进法治建设第一责任人职责情况</w:t>
      </w:r>
    </w:p>
    <w:p w14:paraId="6860D49B">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（一）全面履行法治建设职责。</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党政</w:t>
      </w:r>
      <w:r>
        <w:rPr>
          <w:rFonts w:hint="eastAsia" w:ascii="仿宋_GB2312" w:hAnsi="仿宋_GB2312" w:eastAsia="仿宋_GB2312" w:cs="仿宋_GB2312"/>
          <w:sz w:val="32"/>
          <w:szCs w:val="32"/>
        </w:rPr>
        <w:t>主要负责人</w:t>
      </w:r>
      <w:r>
        <w:rPr>
          <w:rFonts w:hint="eastAsia" w:ascii="仿宋_GB2312" w:hAnsi="仿宋_GB2312" w:eastAsia="仿宋_GB2312" w:cs="仿宋_GB2312"/>
          <w:sz w:val="32"/>
          <w:szCs w:val="32"/>
          <w:lang w:eastAsia="zh-CN"/>
        </w:rPr>
        <w:t>高度重视法治建设工作，</w:t>
      </w:r>
      <w:r>
        <w:rPr>
          <w:rFonts w:hint="eastAsia" w:ascii="仿宋_GB2312" w:hAnsi="仿宋_GB2312" w:eastAsia="仿宋_GB2312" w:cs="仿宋_GB2312"/>
          <w:sz w:val="32"/>
          <w:szCs w:val="32"/>
          <w:lang w:val="en-US" w:eastAsia="zh-CN"/>
        </w:rPr>
        <w:t>严格落实《党政主要负责人履行推进法治建设第一责任人职责规定》，</w:t>
      </w:r>
      <w:r>
        <w:rPr>
          <w:rFonts w:hint="eastAsia" w:ascii="仿宋_GB2312" w:hAnsi="仿宋_GB2312" w:eastAsia="仿宋_GB2312" w:cs="仿宋_GB2312"/>
          <w:color w:val="auto"/>
          <w:sz w:val="32"/>
          <w:szCs w:val="32"/>
          <w:lang w:eastAsia="zh-CN"/>
        </w:rPr>
        <w:t>通过局党组会、局长办公会亲自安排调度年度立法、学法、普法、行政执法、依法行政等工作，先后专题</w:t>
      </w:r>
      <w:r>
        <w:rPr>
          <w:rFonts w:hint="eastAsia" w:ascii="仿宋_GB2312" w:hAnsi="仿宋_GB2312" w:eastAsia="仿宋_GB2312" w:cs="仿宋_GB2312"/>
          <w:color w:val="000000"/>
          <w:sz w:val="32"/>
          <w:szCs w:val="32"/>
          <w:lang w:eastAsia="zh-CN"/>
        </w:rPr>
        <w:t>学习</w:t>
      </w:r>
      <w:r>
        <w:rPr>
          <w:rFonts w:hint="default" w:ascii="仿宋_GB2312" w:hAnsi="仿宋_GB2312" w:eastAsia="仿宋_GB2312" w:cs="仿宋_GB2312"/>
          <w:bCs/>
          <w:color w:val="000000"/>
          <w:sz w:val="32"/>
          <w:szCs w:val="32"/>
          <w:lang w:val="en-US" w:eastAsia="zh-CN"/>
        </w:rPr>
        <w:t>习近平总书记对全面依法治国工作作出</w:t>
      </w:r>
      <w:r>
        <w:rPr>
          <w:rFonts w:hint="eastAsia" w:ascii="仿宋_GB2312" w:hAnsi="仿宋_GB2312" w:eastAsia="仿宋_GB2312" w:cs="仿宋_GB2312"/>
          <w:bCs/>
          <w:color w:val="000000"/>
          <w:sz w:val="32"/>
          <w:szCs w:val="32"/>
          <w:lang w:val="en-US" w:eastAsia="zh-CN"/>
        </w:rPr>
        <w:t>的</w:t>
      </w:r>
      <w:r>
        <w:rPr>
          <w:rFonts w:hint="default" w:ascii="仿宋_GB2312" w:hAnsi="仿宋_GB2312" w:eastAsia="仿宋_GB2312" w:cs="仿宋_GB2312"/>
          <w:bCs/>
          <w:color w:val="000000"/>
          <w:sz w:val="32"/>
          <w:szCs w:val="32"/>
          <w:lang w:val="en-US" w:eastAsia="zh-CN"/>
        </w:rPr>
        <w:t>重要</w:t>
      </w:r>
      <w:r>
        <w:rPr>
          <w:rFonts w:hint="eastAsia" w:ascii="仿宋_GB2312" w:hAnsi="仿宋_GB2312" w:eastAsia="仿宋_GB2312" w:cs="仿宋_GB2312"/>
          <w:bCs/>
          <w:color w:val="000000"/>
          <w:sz w:val="32"/>
          <w:szCs w:val="32"/>
          <w:lang w:val="en-US" w:eastAsia="zh-CN"/>
        </w:rPr>
        <w:t>指示精神，</w:t>
      </w:r>
      <w:r>
        <w:rPr>
          <w:rFonts w:hint="eastAsia" w:ascii="仿宋_GB2312" w:hAnsi="仿宋_GB2312" w:eastAsia="仿宋_GB2312" w:cs="仿宋_GB2312"/>
          <w:color w:val="auto"/>
          <w:sz w:val="32"/>
          <w:szCs w:val="32"/>
          <w:lang w:val="en-US" w:eastAsia="zh-CN"/>
        </w:rPr>
        <w:t>研究确定</w:t>
      </w:r>
      <w:r>
        <w:rPr>
          <w:rFonts w:hint="eastAsia" w:ascii="仿宋_GB2312" w:hAnsi="仿宋_GB2312" w:eastAsia="仿宋_GB2312" w:cs="仿宋_GB2312"/>
          <w:color w:val="auto"/>
          <w:sz w:val="32"/>
          <w:szCs w:val="32"/>
          <w:lang w:eastAsia="zh-CN"/>
        </w:rPr>
        <w:t>年度普法工作计划和责任清单，研究审议</w:t>
      </w:r>
      <w:r>
        <w:rPr>
          <w:rFonts w:hint="eastAsia" w:ascii="仿宋_GB2312" w:eastAsia="仿宋_GB2312"/>
          <w:bCs/>
          <w:color w:val="000000"/>
          <w:sz w:val="32"/>
          <w:szCs w:val="32"/>
        </w:rPr>
        <w:t>《重大疑难案件会商研判工作机制（试行）》、《行政处罚案件专案专办工作机制（试行）》</w:t>
      </w:r>
      <w:r>
        <w:rPr>
          <w:rFonts w:hint="eastAsia" w:ascii="仿宋_GB2312" w:eastAsia="仿宋_GB2312"/>
          <w:bCs/>
          <w:color w:val="000000"/>
          <w:sz w:val="32"/>
          <w:szCs w:val="32"/>
          <w:lang w:eastAsia="zh-CN"/>
        </w:rPr>
        <w:t>和</w:t>
      </w:r>
      <w:r>
        <w:rPr>
          <w:rFonts w:hint="eastAsia" w:ascii="仿宋_GB2312" w:eastAsia="仿宋_GB2312"/>
          <w:bCs/>
          <w:color w:val="000000"/>
          <w:sz w:val="32"/>
          <w:szCs w:val="32"/>
        </w:rPr>
        <w:t>《行政处罚轻微案件快速办理工作机制（试行）》</w:t>
      </w:r>
      <w:r>
        <w:rPr>
          <w:rFonts w:hint="eastAsia" w:ascii="仿宋_GB2312" w:eastAsia="仿宋_GB2312"/>
          <w:bCs/>
          <w:color w:val="000000"/>
          <w:sz w:val="32"/>
          <w:szCs w:val="32"/>
          <w:lang w:eastAsia="zh-CN"/>
        </w:rPr>
        <w:t>等三项工作机制</w:t>
      </w:r>
      <w:r>
        <w:rPr>
          <w:rFonts w:hint="eastAsia" w:ascii="仿宋_GB2312" w:eastAsia="仿宋_GB2312"/>
          <w:bCs/>
          <w:color w:val="000000"/>
          <w:sz w:val="32"/>
          <w:szCs w:val="32"/>
        </w:rPr>
        <w:t>，</w:t>
      </w:r>
      <w:bookmarkStart w:id="0" w:name="OLE_LINK10"/>
      <w:r>
        <w:rPr>
          <w:rFonts w:hint="eastAsia" w:ascii="仿宋_GB2312" w:eastAsia="仿宋_GB2312"/>
          <w:bCs/>
          <w:color w:val="000000"/>
          <w:sz w:val="32"/>
          <w:szCs w:val="32"/>
          <w:lang w:eastAsia="zh-CN"/>
        </w:rPr>
        <w:t>修订</w:t>
      </w:r>
      <w:r>
        <w:rPr>
          <w:rFonts w:hint="eastAsia" w:ascii="仿宋_GB2312" w:hAnsi="仿宋_GB2312" w:eastAsia="仿宋_GB2312" w:cs="仿宋_GB2312"/>
          <w:color w:val="000000"/>
          <w:sz w:val="32"/>
          <w:szCs w:val="32"/>
        </w:rPr>
        <w:t>《济南市文化和旅游局重大行政执法决定法制审核办法》</w:t>
      </w:r>
      <w:bookmarkEnd w:id="0"/>
      <w:r>
        <w:rPr>
          <w:rFonts w:hint="eastAsia" w:ascii="仿宋_GB2312" w:hAnsi="仿宋_GB2312" w:eastAsia="仿宋_GB2312" w:cs="仿宋_GB2312"/>
          <w:bCs/>
          <w:color w:val="000000"/>
          <w:sz w:val="32"/>
          <w:szCs w:val="32"/>
          <w:lang w:val="en-US" w:eastAsia="zh-CN"/>
        </w:rPr>
        <w:t>等政策措施</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sz w:val="32"/>
          <w:szCs w:val="32"/>
          <w:lang w:eastAsia="zh-CN"/>
        </w:rPr>
        <w:t>《济南市文化和旅游局领导干部应知应会党内法规和国家法律清单》内容，</w:t>
      </w:r>
      <w:r>
        <w:rPr>
          <w:rFonts w:hint="eastAsia" w:ascii="仿宋_GB2312" w:hAnsi="仿宋_GB2312" w:eastAsia="仿宋_GB2312" w:cs="仿宋_GB2312"/>
          <w:color w:val="auto"/>
          <w:sz w:val="32"/>
          <w:szCs w:val="32"/>
          <w:lang w:val="en-US" w:eastAsia="zh-CN"/>
        </w:rPr>
        <w:t>局党组理论学习中心组组织开展集体学习国家法律和党内法规12次，主要包括习近平法治思想、</w:t>
      </w:r>
      <w:r>
        <w:rPr>
          <w:rFonts w:hint="eastAsia" w:ascii="仿宋_GB2312" w:hAnsi="仿宋_GB2312" w:eastAsia="仿宋_GB2312" w:cs="仿宋_GB2312"/>
          <w:color w:val="000000"/>
          <w:sz w:val="32"/>
          <w:szCs w:val="32"/>
          <w:lang w:val="en-US" w:eastAsia="zh-CN"/>
        </w:rPr>
        <w:t>《中华人民共和国统计法》、《中华人民共和国法治宣传教育法》、</w:t>
      </w:r>
      <w:r>
        <w:rPr>
          <w:rFonts w:hint="eastAsia" w:ascii="仿宋_GB2312" w:hAnsi="Times New Roman" w:eastAsia="仿宋_GB2312"/>
          <w:kern w:val="0"/>
          <w:sz w:val="32"/>
          <w:szCs w:val="32"/>
        </w:rPr>
        <w:t>《中华人民共和国网络安全法》</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《中华人民共和国数据安全法》</w:t>
      </w:r>
      <w:r>
        <w:rPr>
          <w:rFonts w:hint="eastAsia" w:ascii="仿宋_GB2312" w:hAnsi="Times New Roman" w:eastAsia="仿宋_GB2312"/>
          <w:kern w:val="0"/>
          <w:sz w:val="32"/>
          <w:szCs w:val="32"/>
          <w:lang w:eastAsia="zh-CN"/>
        </w:rPr>
        <w:t>、</w:t>
      </w:r>
      <w:r>
        <w:rPr>
          <w:rFonts w:hint="eastAsia" w:ascii="仿宋_GB2312" w:hAnsi="仿宋_GB2312" w:eastAsia="仿宋_GB2312" w:cs="仿宋_GB2312"/>
          <w:color w:val="000000"/>
          <w:sz w:val="32"/>
          <w:szCs w:val="32"/>
          <w:lang w:val="en-US" w:eastAsia="zh-CN"/>
        </w:rPr>
        <w:t>《中国共产党思想政治工作条例》、《中国共产党纪律处分条例》、《中央八项规定精神及其实施细则》</w:t>
      </w:r>
      <w:r>
        <w:rPr>
          <w:rFonts w:hint="eastAsia" w:ascii="仿宋_GB2312" w:hAnsi="仿宋_GB2312" w:eastAsia="仿宋_GB2312" w:cs="仿宋_GB2312"/>
          <w:color w:val="auto"/>
          <w:sz w:val="32"/>
          <w:szCs w:val="32"/>
          <w:lang w:val="en-US" w:eastAsia="zh-CN"/>
        </w:rPr>
        <w:t>等。</w:t>
      </w:r>
    </w:p>
    <w:p w14:paraId="64AA607B">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rPr>
          <w:rFonts w:hint="default"/>
          <w:lang w:val="en-US" w:eastAsia="zh-CN"/>
        </w:rPr>
      </w:pPr>
      <w:r>
        <w:rPr>
          <w:rFonts w:hint="eastAsia" w:ascii="楷体_GB2312" w:hAnsi="楷体_GB2312" w:eastAsia="楷体_GB2312" w:cs="楷体_GB2312"/>
          <w:sz w:val="32"/>
          <w:szCs w:val="32"/>
          <w:lang w:val="en-US" w:eastAsia="zh-CN"/>
        </w:rPr>
        <w:t>（二）开展习近平法治思想宣讲</w:t>
      </w:r>
      <w:r>
        <w:rPr>
          <w:rFonts w:hint="eastAsia" w:ascii="仿宋_GB2312" w:hAnsi="仿宋_GB2312" w:eastAsia="仿宋_GB2312" w:cs="仿宋_GB2312"/>
          <w:sz w:val="32"/>
          <w:szCs w:val="32"/>
          <w:lang w:val="en-US" w:eastAsia="zh-CN"/>
        </w:rPr>
        <w:t>。邀请济南大学政法学院副院长、法学系主任、教授刘康磊以《以法治方式推进多层次治理的中国式现代化——以法治政府建设为侧重》为题开展习近平法治思想宣讲活动，宣讲全面阐释了习近平法治思想“十一个坚持”核心要义，结合文旅工作实际，系统科学厘清了新时代中国特色法治国家、法治政府、法治社会之间的体系建设，提升了全市文旅系统领导干部的法治思维能力和水平。市文化和旅游局党组成员、市管干部、副处级以上干部，以及市文化市场综合行政执法支队班子成员、局属各单位中层以上干部210人参加了宣讲培训。</w:t>
      </w:r>
    </w:p>
    <w:p w14:paraId="3164AE5E">
      <w:pPr>
        <w:pStyle w:val="6"/>
        <w:rPr>
          <w:rFonts w:hint="default" w:ascii="仿宋_GB2312" w:hAnsi="仿宋_GB2312" w:eastAsia="仿宋_GB2312" w:cs="仿宋_GB2312"/>
          <w:sz w:val="32"/>
          <w:szCs w:val="32"/>
          <w:lang w:val="en-US" w:eastAsia="zh-CN"/>
        </w:rPr>
      </w:pPr>
      <w:r>
        <w:rPr>
          <w:rFonts w:hint="eastAsia"/>
          <w:lang w:val="en-US" w:eastAsia="zh-CN"/>
        </w:rPr>
        <w:t xml:space="preserve">   </w:t>
      </w:r>
      <w:r>
        <w:rPr>
          <w:rFonts w:hint="eastAsia" w:ascii="楷体_GB2312" w:hAnsi="楷体_GB2312" w:eastAsia="楷体_GB2312" w:cs="楷体_GB2312"/>
          <w:sz w:val="32"/>
          <w:szCs w:val="32"/>
          <w:lang w:val="en-US" w:eastAsia="zh-CN"/>
        </w:rPr>
        <w:t xml:space="preserve"> （三）加强安全督导检查。</w:t>
      </w:r>
      <w:r>
        <w:rPr>
          <w:rFonts w:hint="eastAsia" w:ascii="方正仿宋_GBK" w:hAnsi="方正仿宋_GBK" w:eastAsia="方正仿宋_GBK" w:cs="方正仿宋_GBK"/>
          <w:sz w:val="32"/>
          <w:szCs w:val="32"/>
          <w:lang w:val="en-US" w:eastAsia="zh-CN"/>
        </w:rPr>
        <w:t>加强</w:t>
      </w:r>
      <w:r>
        <w:rPr>
          <w:rFonts w:hint="eastAsia" w:ascii="仿宋_GB2312" w:hAnsi="仿宋_GB2312" w:eastAsia="仿宋_GB2312" w:cs="仿宋_GB2312"/>
          <w:sz w:val="32"/>
          <w:szCs w:val="32"/>
          <w:lang w:val="en-US" w:eastAsia="zh-CN"/>
        </w:rPr>
        <w:t>元旦、春节、五一、端午、仲秋、国庆等重要节假日的安全督导，组织成立9个督导检查组，由局领导班子成员带队到15个区县（功能区）的景区、文博场馆、文化街区、文旅企业等开展假日安全和文旅市场综合督导检查，营造良好文旅市场环境。</w:t>
      </w:r>
    </w:p>
    <w:p w14:paraId="59A65EF2">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200" w:firstLine="320" w:firstLineChars="1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二、推进法治政府建设的主要举措和成效</w:t>
      </w:r>
    </w:p>
    <w:p w14:paraId="196FF9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（一）加强法规制度建设，提升依法决策水平。</w:t>
      </w:r>
      <w:r>
        <w:rPr>
          <w:rFonts w:hint="eastAsia" w:ascii="仿宋_GB2312" w:hAnsi="仿宋_GB2312" w:eastAsia="仿宋_GB2312" w:cs="仿宋_GB2312"/>
          <w:b/>
          <w:bCs/>
          <w:sz w:val="32"/>
          <w:szCs w:val="32"/>
          <w:lang w:val="en-US" w:eastAsia="zh-CN"/>
        </w:rPr>
        <w:t>一是完成《济南市旅游促进条例》地方立法工作。</w:t>
      </w:r>
      <w:r>
        <w:rPr>
          <w:rFonts w:hint="eastAsia" w:ascii="仿宋_GB2312" w:hAnsi="仿宋_GB2312" w:eastAsia="仿宋_GB2312" w:cs="仿宋_GB2312"/>
          <w:sz w:val="32"/>
          <w:szCs w:val="32"/>
          <w:lang w:val="en-US" w:eastAsia="zh-CN"/>
        </w:rPr>
        <w:t>推进《济南市旅游促进条例》公开征求意见、行业协会重点企业座谈会、部门会签等工作，5月底经市政府常务会议研究通过，6月和8月经市人大常委会组织两次审议通过，9月26日经省人大常委会第十七次会议批准，自2026年1月1日起施行。</w:t>
      </w:r>
      <w:r>
        <w:rPr>
          <w:rFonts w:hint="eastAsia" w:ascii="仿宋_GB2312" w:hAnsi="仿宋_GB2312" w:eastAsia="仿宋_GB2312" w:cs="仿宋_GB2312"/>
          <w:b/>
          <w:bCs/>
          <w:sz w:val="32"/>
          <w:szCs w:val="32"/>
          <w:lang w:val="en-US" w:eastAsia="zh-CN"/>
        </w:rPr>
        <w:t>二是及时动态调整权责清单。</w:t>
      </w:r>
      <w:r>
        <w:rPr>
          <w:rFonts w:hint="eastAsia" w:ascii="仿宋_GB2312" w:hAnsi="仿宋_GB2312" w:eastAsia="仿宋_GB2312" w:cs="仿宋_GB2312"/>
          <w:sz w:val="32"/>
          <w:szCs w:val="32"/>
          <w:lang w:val="en-US" w:eastAsia="zh-CN"/>
        </w:rPr>
        <w:t>按照《山东省政府部门权责清单动态管理办法》，根据法律法规立改废情况和省级部门要求，动态调整事项9项。</w:t>
      </w:r>
      <w:r>
        <w:rPr>
          <w:rFonts w:hint="eastAsia" w:ascii="仿宋_GB2312" w:hAnsi="仿宋_GB2312" w:eastAsia="仿宋_GB2312" w:cs="仿宋_GB2312"/>
          <w:kern w:val="2"/>
          <w:sz w:val="32"/>
          <w:szCs w:val="32"/>
          <w:lang w:val="en-US" w:eastAsia="zh-CN" w:bidi="ar"/>
        </w:rPr>
        <w:t>截至2025年12月，我局共发布实施权责事项318项，其中：行政权力事项312项，公共服务事项6项。</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bCs/>
          <w:sz w:val="32"/>
          <w:szCs w:val="32"/>
          <w:lang w:val="en-US" w:eastAsia="zh-CN"/>
        </w:rPr>
        <w:t>严格规范性文件管理。</w:t>
      </w:r>
      <w:r>
        <w:rPr>
          <w:rFonts w:hint="eastAsia" w:ascii="仿宋_GB2312" w:hAnsi="仿宋_GB2312" w:eastAsia="仿宋_GB2312" w:cs="仿宋_GB2312"/>
          <w:sz w:val="32"/>
          <w:szCs w:val="32"/>
          <w:lang w:val="en-US" w:eastAsia="zh-CN"/>
        </w:rPr>
        <w:t>严格落实国家关于公平竞争审查制度要求，提高市场准入公开规范便利程度，开展妨碍全国统一市场和公平竞争政策措施清理工作，完成今年新出台的3项政策措施的公平竞争审查工作。完成我局2024年12月31日前印发公布的现行有效的规范性文件清理，确定1件规范性文件继续实施。完成我局4件市政府文件的实施后评估工作。</w:t>
      </w:r>
      <w:r>
        <w:rPr>
          <w:rFonts w:hint="eastAsia" w:ascii="仿宋_GB2312" w:hAnsi="仿宋_GB2312" w:eastAsia="仿宋_GB2312" w:cs="仿宋_GB2312"/>
          <w:b/>
          <w:bCs/>
          <w:sz w:val="32"/>
          <w:szCs w:val="32"/>
          <w:lang w:val="en-US" w:eastAsia="zh-CN"/>
        </w:rPr>
        <w:t>四是健全依法科学决策机制。</w:t>
      </w:r>
      <w:r>
        <w:rPr>
          <w:rFonts w:hint="eastAsia" w:ascii="仿宋_GB2312" w:hAnsi="仿宋_GB2312" w:eastAsia="仿宋_GB2312" w:cs="仿宋_GB2312"/>
          <w:sz w:val="32"/>
          <w:szCs w:val="32"/>
          <w:lang w:val="en-US" w:eastAsia="zh-CN"/>
        </w:rPr>
        <w:t>完成新一任法律顾问聘任工作，充分发挥法律顾问和公职律师在规范性文件制定、重大行政决策、政府合同协议签订过程中的作用，审查各类合同、协议10余件，参与执法案件审查、化解纠纷20余件，代理应诉案件2件。</w:t>
      </w:r>
    </w:p>
    <w:p w14:paraId="73259F61">
      <w:pPr>
        <w:keepNext w:val="0"/>
        <w:keepLines w:val="0"/>
        <w:pageBreakBefore w:val="0"/>
        <w:widowControl/>
        <w:numPr>
          <w:ilvl w:val="0"/>
          <w:numId w:val="0"/>
        </w:numPr>
        <w:suppressLineNumbers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（二）不断提升行政执法水平，严格落实“三项制度”和“四张清单”工作。</w:t>
      </w:r>
      <w:r>
        <w:rPr>
          <w:rFonts w:hint="eastAsia" w:ascii="仿宋_GB2312" w:hAnsi="仿宋_GB2312" w:eastAsia="仿宋_GB2312" w:cs="仿宋_GB2312"/>
          <w:sz w:val="32"/>
          <w:szCs w:val="32"/>
          <w:lang w:val="en-US" w:eastAsia="zh-CN"/>
        </w:rPr>
        <w:t>2025年全市共出动文化执法检查人员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3630人次，检查经营单位1472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家次，办</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案件101件、罚没款83万余元。</w:t>
      </w:r>
      <w:r>
        <w:rPr>
          <w:rFonts w:hint="eastAsia" w:ascii="仿宋_GB2312" w:hAnsi="仿宋_GB2312" w:eastAsia="仿宋_GB2312" w:cs="仿宋_GB2312"/>
          <w:bCs/>
          <w:color w:val="000000" w:themeColor="text1"/>
          <w:sz w:val="32"/>
          <w:szCs w:val="32"/>
          <w14:textFill>
            <w14:solidFill>
              <w14:schemeClr w14:val="tx1"/>
            </w14:solidFill>
          </w14:textFill>
        </w:rPr>
        <w:t>牵头制定</w:t>
      </w:r>
      <w:r>
        <w:rPr>
          <w:rFonts w:hint="eastAsia" w:ascii="仿宋_GB2312" w:hAnsi="仿宋_GB2312" w:eastAsia="仿宋_GB2312" w:cs="仿宋_GB2312"/>
          <w:color w:val="000000" w:themeColor="text1"/>
          <w:sz w:val="32"/>
          <w:szCs w:val="32"/>
          <w14:textFill>
            <w14:solidFill>
              <w14:schemeClr w14:val="tx1"/>
            </w14:solidFill>
          </w14:textFill>
        </w:rPr>
        <w:t>大型营业性演出活动服务保障工作意见，实现27场大型演唱会“零违规、零舆情”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Segoe UI" w:eastAsia="仿宋_GB2312" w:cs="Segoe UI"/>
          <w:sz w:val="32"/>
          <w:szCs w:val="32"/>
          <w:shd w:val="clear" w:color="auto" w:fill="FFFFFF"/>
        </w:rPr>
        <w:t>大型演唱会监管服务工作获市委主要领导肯定性指示。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作为全国唯一市级文化执法机构在全国广播电视法治工作会议作典型发言。</w:t>
      </w:r>
      <w:r>
        <w:rPr>
          <w:rFonts w:ascii="仿宋_GB2312" w:hAnsi="Segoe UI" w:eastAsia="仿宋_GB2312" w:cs="Segoe UI"/>
          <w:bCs/>
          <w:sz w:val="32"/>
          <w:szCs w:val="32"/>
          <w:shd w:val="clear" w:color="auto" w:fill="FFFFFF"/>
        </w:rPr>
        <w:t>连续</w:t>
      </w:r>
      <w:r>
        <w:rPr>
          <w:rFonts w:hint="eastAsia" w:ascii="仿宋_GB2312" w:hAnsi="Segoe UI" w:eastAsia="仿宋_GB2312" w:cs="Segoe UI"/>
          <w:sz w:val="32"/>
          <w:szCs w:val="32"/>
          <w:shd w:val="clear" w:color="auto" w:fill="FFFFFF"/>
        </w:rPr>
        <w:t>获评全国“查处重大侵权盗版案件有功单位”等多项荣誉</w:t>
      </w:r>
      <w:r>
        <w:rPr>
          <w:rFonts w:ascii="仿宋_GB2312" w:hAnsi="Segoe UI" w:eastAsia="仿宋_GB2312" w:cs="Segoe UI"/>
          <w:sz w:val="32"/>
          <w:szCs w:val="32"/>
          <w:shd w:val="clear" w:color="auto" w:fill="FFFFFF"/>
        </w:rPr>
        <w:t>。</w:t>
      </w: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1个旅游案件获评全省文化市场综合执法重大案件。</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1件文物案卷获评全省文物行政执法指导性案例优秀案卷。</w:t>
      </w:r>
      <w:r>
        <w:rPr>
          <w:rFonts w:hint="eastAsia" w:ascii="仿宋_GB2312" w:hAnsi="仿宋_GB2312" w:eastAsia="仿宋_GB2312" w:cs="仿宋_GB2312"/>
          <w:b/>
          <w:bCs/>
          <w:sz w:val="32"/>
          <w:szCs w:val="32"/>
          <w:lang w:val="en-US" w:eastAsia="zh-CN"/>
        </w:rPr>
        <w:t>一是深化行政执法“三项制度”和“四张清单”推行。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深入落实行政执法公示制度、全程记录制度、重大案件讨论制度等“三项制度”。我局行政处罚案件均通过全国文化市场技术监管与服务平台发起办理，通过平台实现案件的审核与审批，规范办案程序。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扎实推进落实“四张清单”制度，</w:t>
      </w:r>
      <w:r>
        <w:rPr>
          <w:rFonts w:hint="eastAsia" w:ascii="仿宋_GB2312" w:hAnsi="仿宋_GB2312" w:eastAsia="仿宋_GB2312" w:cs="仿宋_GB2312"/>
          <w:color w:val="000000" w:themeColor="text1"/>
          <w:sz w:val="32"/>
          <w:szCs w:val="32"/>
          <w14:textFill>
            <w14:solidFill>
              <w14:schemeClr w14:val="tx1"/>
            </w14:solidFill>
          </w14:textFill>
        </w:rPr>
        <w:t>推进包容审慎监管，激发市场活力和社会创造力。全面落实“首违不罚”“轻微不罚”制度，对轻微违法情形，优先采取警示告诫、行政约谈等柔性执法方式。2025年以来，对首次违法、轻微违法的23家经营主体不予行政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塑造</w:t>
      </w:r>
      <w:r>
        <w:rPr>
          <w:rFonts w:hint="eastAsia" w:ascii="仿宋_GB2312" w:hAnsi="仿宋_GB2312" w:eastAsia="仿宋_GB2312" w:cs="仿宋_GB2312"/>
          <w:color w:val="000000" w:themeColor="text1"/>
          <w:sz w:val="32"/>
          <w:szCs w:val="32"/>
          <w14:textFill>
            <w14:solidFill>
              <w14:schemeClr w14:val="tx1"/>
            </w14:solidFill>
          </w14:textFill>
        </w:rPr>
        <w:t>“执法有力度、服务有温度”的新形象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sz w:val="32"/>
          <w:szCs w:val="32"/>
          <w:lang w:val="zh-CN" w:eastAsia="zh-CN"/>
        </w:rPr>
        <w:t>二是</w:t>
      </w:r>
      <w:r>
        <w:rPr>
          <w:rFonts w:hint="eastAsia" w:ascii="仿宋_GB2312" w:hAnsi="仿宋_GB2312" w:eastAsia="仿宋_GB2312" w:cs="仿宋_GB2312"/>
          <w:b/>
          <w:bCs/>
          <w:sz w:val="32"/>
          <w:szCs w:val="32"/>
          <w:lang w:val="en-US" w:eastAsia="zh-CN"/>
        </w:rPr>
        <w:t>认真组织</w:t>
      </w:r>
      <w:r>
        <w:rPr>
          <w:rFonts w:hint="eastAsia" w:ascii="仿宋_GB2312" w:hAnsi="仿宋_GB2312" w:eastAsia="仿宋_GB2312" w:cs="仿宋_GB2312"/>
          <w:b/>
          <w:bCs/>
          <w:sz w:val="32"/>
          <w:szCs w:val="32"/>
          <w:lang w:val="zh-CN" w:eastAsia="zh-CN"/>
        </w:rPr>
        <w:t>行政执法人员培训和技能竞赛。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全面统筹培训时</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节点，于6月、9月开展全市文化执法业务骨干集中培训，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市文化执法支队全体执法人员、各区县执法机构主要负责同志及业务骨干</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以及对口交流的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白银市文化执法队执法人员等1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0余人参加培训。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在线培训贯穿全年，执法人员参训率、达标率均达到100%。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9月18日至19日，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我局联合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市委宣传部、市司法局、市总工会举办第五届文化市场综合执法岗位练兵技能竞赛活动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全市文化执法系统16支代表队、60余名执法骨干参加竞赛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。活动切实</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增强了执法人员依法行政、有效履职的能力，提升了队伍凝聚力和战斗力。</w:t>
      </w:r>
      <w:r>
        <w:rPr>
          <w:rFonts w:hint="eastAsia" w:ascii="仿宋_GB2312" w:hAnsi="仿宋_GB2312" w:eastAsia="仿宋_GB2312" w:cs="仿宋_GB2312"/>
          <w:b/>
          <w:bCs/>
          <w:sz w:val="32"/>
          <w:szCs w:val="32"/>
          <w:lang w:val="en-US" w:eastAsia="zh-CN"/>
        </w:rPr>
        <w:t>三是不断提升事中事后监管效率和水平。</w:t>
      </w:r>
      <w:r>
        <w:rPr>
          <w:rFonts w:hint="eastAsia" w:ascii="方正仿宋_GBK" w:hAnsi="方正仿宋_GBK" w:eastAsia="方正仿宋_GBK" w:cs="方正仿宋_GBK"/>
          <w:sz w:val="32"/>
          <w:szCs w:val="32"/>
        </w:rPr>
        <w:t>监管覆盖全面提质，完成对娱乐场所、网吧、旅行社、景区、</w:t>
      </w:r>
      <w:r>
        <w:rPr>
          <w:rFonts w:hint="eastAsia" w:ascii="方正仿宋_GBK" w:hAnsi="方正仿宋_GBK" w:eastAsia="方正仿宋_GBK" w:cs="方正仿宋_GBK"/>
          <w:sz w:val="32"/>
          <w:szCs w:val="32"/>
          <w:lang w:eastAsia="zh-CN"/>
        </w:rPr>
        <w:t>星级酒店和民宿</w:t>
      </w:r>
      <w:r>
        <w:rPr>
          <w:rFonts w:hint="eastAsia" w:ascii="方正仿宋_GBK" w:hAnsi="方正仿宋_GBK" w:eastAsia="方正仿宋_GBK" w:cs="方正仿宋_GBK"/>
          <w:sz w:val="32"/>
          <w:szCs w:val="32"/>
        </w:rPr>
        <w:t>等全业态抽查，全年累计抽查市场主体</w:t>
      </w:r>
      <w:r>
        <w:rPr>
          <w:rFonts w:hint="eastAsia" w:ascii="方正仿宋_GBK" w:hAnsi="方正仿宋_GBK" w:eastAsia="方正仿宋_GBK" w:cs="方正仿宋_GBK"/>
          <w:sz w:val="32"/>
          <w:szCs w:val="32"/>
          <w:lang w:val="en-US" w:eastAsia="zh-CN"/>
        </w:rPr>
        <w:t>850余</w:t>
      </w:r>
      <w:r>
        <w:rPr>
          <w:rFonts w:hint="eastAsia" w:ascii="方正仿宋_GBK" w:hAnsi="方正仿宋_GBK" w:eastAsia="方正仿宋_GBK" w:cs="方正仿宋_GBK"/>
          <w:sz w:val="32"/>
          <w:szCs w:val="32"/>
        </w:rPr>
        <w:t>家，出动执法人员260人次，重点时段（节假日、寒暑假）抽查覆盖率达100%。深化跨部门协同机制，制定年度联合抽查计划，整合重叠检查事项2项，建立信息共享平台，实现检查结果互认、违法线索互移，破解“多头执法”难题。</w:t>
      </w:r>
      <w:r>
        <w:rPr>
          <w:rFonts w:hint="eastAsia" w:ascii="方正仿宋_GBK" w:hAnsi="方正仿宋_GBK" w:eastAsia="方正仿宋_GBK" w:cs="方正仿宋_GBK"/>
          <w:sz w:val="32"/>
          <w:szCs w:val="32"/>
          <w:lang w:val="en-US" w:eastAsia="zh-CN"/>
        </w:rPr>
        <w:t>2025年</w:t>
      </w:r>
      <w:r>
        <w:rPr>
          <w:rFonts w:hint="eastAsia" w:ascii="方正仿宋_GBK" w:hAnsi="方正仿宋_GBK" w:eastAsia="方正仿宋_GBK" w:cs="方正仿宋_GBK"/>
          <w:sz w:val="32"/>
          <w:szCs w:val="32"/>
        </w:rPr>
        <w:t>联合公安、市</w:t>
      </w:r>
      <w:r>
        <w:rPr>
          <w:rFonts w:hint="eastAsia" w:ascii="方正仿宋_GBK" w:hAnsi="方正仿宋_GBK" w:eastAsia="方正仿宋_GBK" w:cs="方正仿宋_GBK"/>
          <w:sz w:val="32"/>
          <w:szCs w:val="32"/>
          <w:lang w:eastAsia="zh-CN"/>
        </w:rPr>
        <w:t>场监管</w:t>
      </w:r>
      <w:r>
        <w:rPr>
          <w:rFonts w:hint="eastAsia" w:ascii="方正仿宋_GBK" w:hAnsi="方正仿宋_GBK" w:eastAsia="方正仿宋_GBK" w:cs="方正仿宋_GBK"/>
          <w:sz w:val="32"/>
          <w:szCs w:val="32"/>
        </w:rPr>
        <w:t>、卫健等部门开展联合抽查32次，较2024年压减重复检查事项3</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%。构建信用分级监管体系，依据经营资质、违法记录等指标划分A、B、C三级信用等级，对A级主体降低抽查频次30%，对C级主体提高抽查比例至50%，实现“精准画像、分类施策”。</w:t>
      </w:r>
      <w:r>
        <w:rPr>
          <w:rFonts w:hint="eastAsia" w:ascii="方正仿宋_GBK" w:hAnsi="方正仿宋_GBK" w:eastAsia="方正仿宋_GBK" w:cs="方正仿宋_GBK"/>
          <w:sz w:val="32"/>
          <w:szCs w:val="32"/>
          <w:lang w:val="en-US" w:eastAsia="zh-CN"/>
        </w:rPr>
        <w:t>开展涉企行政执法检查专项行动，全面推行“线上巡查监测+线下精准执法”的非现场监管模式，充分利用技术手段，加强对互联网文化单位、短视频平台、网上书店等的线上巡查，今年以来开展在线巡查300余次。</w:t>
      </w:r>
    </w:p>
    <w:p w14:paraId="5E2BB7DC">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（三）加强法治教育宣传，提升依法治理水平。</w:t>
      </w:r>
      <w:r>
        <w:rPr>
          <w:rFonts w:hint="eastAsia" w:ascii="仿宋_GB2312" w:hAnsi="仿宋_GB2312" w:eastAsia="仿宋_GB2312" w:cs="仿宋_GB2312"/>
          <w:b/>
          <w:bCs/>
          <w:sz w:val="32"/>
          <w:szCs w:val="32"/>
          <w:lang w:val="en-US" w:eastAsia="zh-CN"/>
        </w:rPr>
        <w:t>一是加强普法宣传。</w:t>
      </w:r>
      <w:r>
        <w:rPr>
          <w:rFonts w:hint="eastAsia" w:ascii="仿宋_GB2312" w:hAnsi="仿宋_GB2312" w:eastAsia="仿宋_GB2312" w:cs="仿宋_GB2312"/>
          <w:sz w:val="32"/>
          <w:szCs w:val="32"/>
          <w:lang w:val="en-US" w:eastAsia="zh-CN"/>
        </w:rPr>
        <w:t>制定《济南市文化和旅游局2025年普法工作计划和普法责任清单》，明确普法宣传目标任务，推进落实普法责任。组织局系统开展“项目提升年”优化法治化营商环境宣传月、民法典宣传月、宪法宣传周和法治宣传教育月、全民国家安全宣传教育、法治宣传教育法宣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3·15消费者权益保护日、4·26世界知识产权日、</w:t>
      </w:r>
      <w:r>
        <w:rPr>
          <w:rFonts w:hint="eastAsia" w:ascii="仿宋_GB2312" w:hAnsi="仿宋_GB2312" w:eastAsia="仿宋_GB2312" w:cs="仿宋_GB2312"/>
          <w:sz w:val="32"/>
          <w:szCs w:val="32"/>
          <w:lang w:val="en-US" w:eastAsia="zh-CN"/>
        </w:rPr>
        <w:t>中国旅游日、自然和文化遗产日等重要时间节点普法宣传活动。开展多种形式的法治宣传进乡村、进景区、进社区、进企业和线上宣传活动。发挥文化场馆阵地优势和普法志愿队伍优势，设置法治文化宣传栏、宣传台等，利用大屏幕、电子屏开展法治宣传。</w:t>
      </w:r>
      <w:r>
        <w:rPr>
          <w:rFonts w:hint="eastAsia" w:ascii="仿宋_GB2312" w:hAnsi="仿宋_GB2312" w:eastAsia="仿宋_GB2312" w:cs="仿宋_GB2312"/>
          <w:b/>
          <w:bCs/>
          <w:sz w:val="32"/>
          <w:szCs w:val="32"/>
          <w:lang w:val="en-US" w:eastAsia="zh-CN"/>
        </w:rPr>
        <w:t>二是开展以案释法活动。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开展“泉城旅游法律大讲堂”进社区活动6场，发放宣传资料500余份；开展“泉城旅游法律大讲堂”直播公益普法课11期，300余家旅行社、超2000余人次参与。</w:t>
      </w:r>
      <w:r>
        <w:rPr>
          <w:rFonts w:hint="eastAsia" w:ascii="仿宋_GB2312" w:hAnsi="仿宋_GB2312" w:eastAsia="仿宋_GB2312" w:cs="仿宋_GB2312"/>
          <w:color w:val="000000" w:themeColor="text1"/>
          <w:sz w:val="32"/>
          <w:szCs w:val="32"/>
          <w14:textFill>
            <w14:solidFill>
              <w14:schemeClr w14:val="tx1"/>
            </w14:solidFill>
          </w14:textFill>
        </w:rPr>
        <w:t>公布5起“未经许可经营旅行社业务”等典型案例。健全市区（县）两级旅游投诉处理机制，开设投诉处理技巧培训课</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投诉内部通报</w:t>
      </w:r>
      <w:r>
        <w:rPr>
          <w:rFonts w:hint="eastAsia" w:ascii="仿宋_GB2312" w:hAnsi="仿宋_GB2312" w:eastAsia="仿宋_GB2312" w:cs="仿宋_GB2312"/>
          <w:color w:val="000000" w:themeColor="text1"/>
          <w:sz w:val="32"/>
          <w:szCs w:val="32"/>
          <w:lang w:eastAsia="zh-CN"/>
          <w14:textFill>
            <w14:solidFill>
              <w14:schemeClr w14:val="tx1"/>
            </w14:solidFill>
          </w14:textFill>
        </w:rPr>
        <w:t>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对旅游市场始终保持严查重惩的高压态势</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sz w:val="32"/>
          <w:szCs w:val="32"/>
          <w:lang w:val="en-US" w:eastAsia="zh-CN"/>
        </w:rPr>
        <w:t>三是加强法治文艺创作。</w:t>
      </w:r>
      <w:r>
        <w:rPr>
          <w:rFonts w:hint="eastAsia" w:ascii="仿宋_GB2312" w:hAnsi="仿宋_GB2312" w:eastAsia="仿宋_GB2312" w:cs="仿宋_GB2312"/>
          <w:b w:val="0"/>
          <w:bCs w:val="0"/>
          <w:sz w:val="32"/>
          <w:szCs w:val="32"/>
          <w:lang w:val="en-US" w:eastAsia="zh-CN"/>
        </w:rPr>
        <w:t>积极推进局属单位加强法治文艺创作与展演活动，市文化馆</w:t>
      </w:r>
      <w:r>
        <w:rPr>
          <w:rFonts w:hint="eastAsia" w:ascii="仿宋_GB2312" w:hAnsi="仿宋_GB2312" w:eastAsia="仿宋_GB2312" w:cs="仿宋_GB2312"/>
          <w:sz w:val="32"/>
          <w:szCs w:val="32"/>
        </w:rPr>
        <w:t>创新探索“非遗活态传承”与“法治精神传播”的深度融合路径，</w:t>
      </w:r>
      <w:r>
        <w:rPr>
          <w:rFonts w:hint="eastAsia" w:ascii="仿宋_GB2312" w:hAnsi="仿宋_GB2312" w:eastAsia="仿宋_GB2312" w:cs="仿宋_GB2312"/>
          <w:sz w:val="32"/>
          <w:szCs w:val="32"/>
          <w:lang w:eastAsia="zh-CN"/>
        </w:rPr>
        <w:t>联合省博物馆、历下区相关部门</w:t>
      </w:r>
      <w:r>
        <w:rPr>
          <w:rFonts w:hint="eastAsia" w:ascii="仿宋_GB2312" w:hAnsi="仿宋_GB2312" w:eastAsia="仿宋_GB2312" w:cs="仿宋_GB2312"/>
          <w:sz w:val="32"/>
          <w:szCs w:val="32"/>
        </w:rPr>
        <w:t>举办2025年“非遗传承・法治同行”济南市剪纸大赛暨历下区第六届剪纸大赛</w:t>
      </w:r>
      <w:r>
        <w:rPr>
          <w:rFonts w:hint="eastAsia" w:ascii="仿宋_GB2312" w:hAnsi="仿宋_GB2312" w:eastAsia="仿宋_GB2312" w:cs="仿宋_GB2312"/>
          <w:sz w:val="32"/>
          <w:szCs w:val="32"/>
          <w:lang w:eastAsia="zh-CN"/>
        </w:rPr>
        <w:t>；指导创作以</w:t>
      </w:r>
      <w:r>
        <w:rPr>
          <w:rFonts w:hint="eastAsia" w:ascii="仿宋_GB2312" w:hAnsi="仿宋_GB2312" w:eastAsia="仿宋_GB2312" w:cs="仿宋_GB2312"/>
          <w:sz w:val="32"/>
          <w:szCs w:val="32"/>
        </w:rPr>
        <w:t>“拒绝酒驾”为主题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国家级非物质文化遗产济南皮影戏</w:t>
      </w:r>
      <w:r>
        <w:rPr>
          <w:rFonts w:hint="eastAsia" w:ascii="仿宋_GB2312" w:hAnsi="仿宋_GB2312" w:eastAsia="仿宋_GB2312" w:cs="仿宋_GB2312"/>
          <w:sz w:val="32"/>
          <w:szCs w:val="32"/>
          <w:lang w:eastAsia="zh-CN"/>
        </w:rPr>
        <w:t>作品</w:t>
      </w:r>
      <w:r>
        <w:rPr>
          <w:rFonts w:hint="eastAsia" w:ascii="仿宋_GB2312" w:hAnsi="仿宋_GB2312" w:eastAsia="仿宋_GB2312" w:cs="仿宋_GB2312"/>
          <w:sz w:val="32"/>
          <w:szCs w:val="32"/>
        </w:rPr>
        <w:t>《酒后别侥幸》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成功入</w:t>
      </w:r>
      <w:r>
        <w:rPr>
          <w:rFonts w:hint="eastAsia" w:ascii="仿宋_GB2312" w:hAnsi="仿宋_GB2312" w:eastAsia="仿宋_GB2312" w:cs="仿宋_GB2312"/>
          <w:sz w:val="32"/>
          <w:szCs w:val="32"/>
          <w:lang w:eastAsia="zh-CN"/>
        </w:rPr>
        <w:t>选省司法厅</w:t>
      </w:r>
      <w:r>
        <w:rPr>
          <w:rFonts w:hint="eastAsia" w:ascii="仿宋_GB2312" w:hAnsi="仿宋_GB2312" w:eastAsia="仿宋_GB2312" w:cs="仿宋_GB2312"/>
          <w:sz w:val="32"/>
          <w:szCs w:val="32"/>
        </w:rPr>
        <w:t>“非遗传承+普法宣传”优秀创新项目。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儿童艺术剧院特别策划以原创IP憨憨熊和他的朋友们为主角，录制校园反霸凌短剧，呼吁共同拒绝校园霸凌；创作的戏剧作品</w:t>
      </w:r>
      <w:r>
        <w:rPr>
          <w:rFonts w:hint="eastAsia" w:ascii="仿宋_GB2312" w:hAnsi="仿宋_GB2312" w:eastAsia="仿宋_GB2312" w:cs="仿宋_GB2312"/>
          <w:sz w:val="32"/>
          <w:szCs w:val="32"/>
          <w:lang w:eastAsia="zh-CN"/>
        </w:rPr>
        <w:t>《两扇门》、</w:t>
      </w:r>
      <w:r>
        <w:rPr>
          <w:rFonts w:hint="eastAsia" w:ascii="仿宋_GB2312" w:hAnsi="仿宋_GB2312" w:eastAsia="仿宋_GB2312" w:cs="仿宋_GB2312"/>
          <w:sz w:val="32"/>
          <w:szCs w:val="32"/>
        </w:rPr>
        <w:t>《张养浩堂邑斗虎记》</w:t>
      </w:r>
      <w:r>
        <w:rPr>
          <w:rFonts w:hint="eastAsia" w:ascii="仿宋_GB2312" w:hAnsi="仿宋_GB2312" w:eastAsia="仿宋_GB2312" w:cs="仿宋_GB2312"/>
          <w:sz w:val="32"/>
          <w:szCs w:val="32"/>
          <w:lang w:eastAsia="zh-CN"/>
        </w:rPr>
        <w:t>双双获第二届“青未了”杯廉洁文化作品创作大赛入围奖。</w:t>
      </w:r>
      <w:r>
        <w:rPr>
          <w:rFonts w:hint="eastAsia" w:ascii="仿宋_GB2312" w:hAnsi="仿宋_GB2312" w:eastAsia="仿宋_GB2312" w:cs="仿宋_GB2312"/>
          <w:kern w:val="0"/>
          <w:sz w:val="32"/>
          <w:szCs w:val="32"/>
          <w:lang w:val="en-US" w:eastAsia="zh-CN" w:bidi="ar"/>
        </w:rPr>
        <w:t>市戏曲曲艺中心举办“守住钱袋子·护好幸福家”防范非法集资主题文艺演出，通过戏曲、曲艺等多样化艺术形式，生动揭示非法集资常见套路与危害。</w:t>
      </w:r>
      <w:r>
        <w:rPr>
          <w:rFonts w:hint="eastAsia" w:ascii="仿宋_GB2312" w:hAnsi="仿宋_GB2312" w:eastAsia="仿宋_GB2312" w:cs="仿宋_GB2312"/>
          <w:b/>
          <w:bCs/>
          <w:sz w:val="32"/>
          <w:szCs w:val="32"/>
          <w:lang w:val="en-US" w:eastAsia="zh-CN"/>
        </w:rPr>
        <w:t>四是利用新媒体普法宣传。</w:t>
      </w:r>
      <w:r>
        <w:rPr>
          <w:rFonts w:hint="eastAsia" w:ascii="仿宋_GB2312" w:hAnsi="仿宋_GB2312" w:eastAsia="仿宋_GB2312" w:cs="仿宋_GB2312"/>
          <w:sz w:val="32"/>
          <w:szCs w:val="32"/>
          <w:lang w:val="en-US" w:eastAsia="zh-CN"/>
        </w:rPr>
        <w:t>发挥市文旅局</w:t>
      </w:r>
      <w:r>
        <w:rPr>
          <w:rFonts w:hint="eastAsia" w:ascii="仿宋_GB2312" w:hAnsi="仿宋_GB2312" w:eastAsia="仿宋_GB2312" w:cs="仿宋_GB2312"/>
          <w:sz w:val="32"/>
          <w:szCs w:val="32"/>
        </w:rPr>
        <w:t>新媒体平台</w:t>
      </w:r>
      <w:r>
        <w:rPr>
          <w:rFonts w:hint="eastAsia" w:ascii="仿宋_GB2312" w:hAnsi="仿宋_GB2312" w:eastAsia="仿宋_GB2312" w:cs="仿宋_GB2312"/>
          <w:sz w:val="32"/>
          <w:szCs w:val="32"/>
          <w:lang w:eastAsia="zh-CN"/>
        </w:rPr>
        <w:t>不同</w:t>
      </w:r>
      <w:r>
        <w:rPr>
          <w:rFonts w:hint="eastAsia" w:ascii="仿宋_GB2312" w:hAnsi="仿宋_GB2312" w:eastAsia="仿宋_GB2312" w:cs="仿宋_GB2312"/>
          <w:sz w:val="32"/>
          <w:szCs w:val="32"/>
        </w:rPr>
        <w:t>特点，</w:t>
      </w:r>
      <w:r>
        <w:rPr>
          <w:rFonts w:hint="eastAsia" w:ascii="仿宋_GB2312" w:hAnsi="仿宋_GB2312" w:eastAsia="仿宋_GB2312" w:cs="仿宋_GB2312"/>
          <w:sz w:val="32"/>
          <w:szCs w:val="32"/>
          <w:lang w:val="en-US" w:eastAsia="zh-CN"/>
        </w:rPr>
        <w:t>以习近平法治思想、</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国家安全、民法典、保密意识、网络安全、反诈等为主题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通过图文、短视频、微信文章加挂小模块等形式，广泛宣传引导，积极营造尊法学法守法用法的良好社会氛围。2025年度，</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局共通过新媒体平台发布普法宣传相关信息424条，累计浏览量2163.8万次。</w:t>
      </w:r>
    </w:p>
    <w:p w14:paraId="4821D1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三、推进法治政府建设存在的问题和不足</w:t>
      </w:r>
    </w:p>
    <w:p w14:paraId="511AFE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一是依法行政水平有待进一步提高。</w:t>
      </w:r>
      <w:r>
        <w:rPr>
          <w:rFonts w:hint="eastAsia" w:ascii="仿宋_GB2312" w:hAnsi="仿宋_GB2312" w:eastAsia="仿宋_GB2312" w:cs="仿宋_GB2312"/>
          <w:sz w:val="32"/>
          <w:szCs w:val="32"/>
          <w:lang w:val="en-US" w:eastAsia="zh-CN"/>
        </w:rPr>
        <w:t>部分机关工作人员自觉运用法治思维和法治方式思考问题、推动发展、化解矛盾、深化改革的能力水平还有待进一步提升，部分政策性文件与市场准入规则和公平竞争规则衔接有一定差距。</w:t>
      </w:r>
    </w:p>
    <w:p w14:paraId="104B49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二是信息化监管水平有待提升。</w:t>
      </w:r>
      <w:r>
        <w:rPr>
          <w:rFonts w:hint="eastAsia" w:ascii="仿宋_GB2312" w:hAnsi="仿宋_GB2312" w:eastAsia="仿宋_GB2312" w:cs="仿宋_GB2312"/>
          <w:sz w:val="32"/>
          <w:szCs w:val="32"/>
          <w:lang w:val="en-US" w:eastAsia="zh-CN"/>
        </w:rPr>
        <w:t>“双随机、一公开” 监管平台功能应用不够充分，与其他部门之间的信息共享还不够顺畅，尚未形成高效的信息化监管体系。</w:t>
      </w:r>
    </w:p>
    <w:p w14:paraId="04E30D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三是法治文艺创作主题需进一步深化。</w:t>
      </w:r>
      <w:r>
        <w:rPr>
          <w:rFonts w:hint="eastAsia" w:ascii="仿宋_GB2312" w:hAnsi="仿宋_GB2312" w:eastAsia="仿宋_GB2312" w:cs="仿宋_GB2312"/>
          <w:sz w:val="32"/>
          <w:szCs w:val="32"/>
          <w:lang w:val="en-US" w:eastAsia="zh-CN"/>
        </w:rPr>
        <w:t>目前主要集中于反诈、防范非法集资、廉政教育等，而与日常百姓生活关系密切的婚姻、房产、物权、个人信息保护以及国家安全、保密等内容的法治文艺作品基本缺失。</w:t>
      </w:r>
    </w:p>
    <w:p w14:paraId="00F9194A">
      <w:pPr>
        <w:pStyle w:val="9"/>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2026年工作打算</w:t>
      </w:r>
    </w:p>
    <w:p w14:paraId="75E64E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（一）深入学习贯彻习近平法治思想。</w:t>
      </w:r>
      <w:r>
        <w:rPr>
          <w:rFonts w:hint="eastAsia" w:ascii="仿宋_GB2312" w:hAnsi="仿宋_GB2312" w:eastAsia="仿宋_GB2312" w:cs="仿宋_GB2312"/>
          <w:sz w:val="32"/>
          <w:szCs w:val="32"/>
          <w:lang w:val="en-US" w:eastAsia="zh-CN"/>
        </w:rPr>
        <w:t>把习近平法治思想作为局党组理论学习中心组学习的重要内容，组织全市文旅系统中层以上干部开展主题宣讲活动，推动习近平法治思想深入人心。</w:t>
      </w:r>
    </w:p>
    <w:p w14:paraId="02D0BC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（二）扎实推进地方立法工作。</w:t>
      </w:r>
      <w:r>
        <w:rPr>
          <w:rFonts w:hint="eastAsia" w:ascii="方正仿宋_GBK" w:hAnsi="方正仿宋_GBK" w:eastAsia="方正仿宋_GBK" w:cs="方正仿宋_GBK"/>
          <w:sz w:val="32"/>
          <w:szCs w:val="32"/>
          <w:lang w:val="en-US" w:eastAsia="zh-CN"/>
        </w:rPr>
        <w:t>全面贯彻实施《济南市旅游促进条例》，</w:t>
      </w:r>
      <w:r>
        <w:rPr>
          <w:rFonts w:hint="eastAsia" w:ascii="仿宋_GB2312" w:hAnsi="仿宋_GB2312" w:eastAsia="仿宋_GB2312" w:cs="仿宋_GB2312"/>
          <w:sz w:val="32"/>
          <w:szCs w:val="32"/>
          <w:lang w:val="en-US" w:eastAsia="zh-CN"/>
        </w:rPr>
        <w:t>推进《济南市非物质文化遗产条例》立法调研工作，成立调研课题组，开展实地调研，征求立法建议，联合市人大法制工作委员会、教科文卫工作室和市司法局开展调研座谈，着手法规起草工作。</w:t>
      </w:r>
      <w:bookmarkStart w:id="1" w:name="_GoBack"/>
      <w:bookmarkEnd w:id="1"/>
    </w:p>
    <w:p w14:paraId="4EBF3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（三）全面提高依法行政能力。</w:t>
      </w:r>
      <w:r>
        <w:rPr>
          <w:rFonts w:hint="eastAsia" w:ascii="仿宋_GB2312" w:hAnsi="仿宋_GB2312" w:eastAsia="仿宋_GB2312" w:cs="仿宋_GB2312"/>
          <w:sz w:val="32"/>
          <w:szCs w:val="32"/>
          <w:lang w:val="en-US" w:eastAsia="zh-CN"/>
        </w:rPr>
        <w:t>组织开展行政执法人员法治教育培训、法治能力测试和执法业务培训。进一步完善重大行政决策运行机制，把合法性审查、公平竞争审查、市场准入规则作为重大行政决策的前置程序。健全部门法律顾问制度和公职律师制度，完善工作规则，深化政府合同审查和纠纷化解机制建设。</w:t>
      </w:r>
    </w:p>
    <w:p w14:paraId="216BB2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（四）不断提升文旅行业行政执法水平。</w:t>
      </w:r>
      <w:r>
        <w:rPr>
          <w:rFonts w:hint="eastAsia" w:ascii="仿宋_GB2312" w:hAnsi="仿宋_GB2312" w:eastAsia="仿宋_GB2312" w:cs="仿宋_GB2312"/>
          <w:sz w:val="32"/>
          <w:szCs w:val="32"/>
          <w:lang w:val="en-US" w:eastAsia="zh-CN"/>
        </w:rPr>
        <w:t>深入推进行政执法“三项制度”“四张清单”，推进包容审慎监管；提升</w:t>
      </w:r>
      <w:r>
        <w:rPr>
          <w:rFonts w:hint="eastAsia" w:ascii="仿宋_GB2312" w:hAnsi="仿宋_GB2312" w:eastAsia="仿宋_GB2312" w:cs="仿宋_GB2312"/>
          <w:b w:val="0"/>
          <w:bCs w:val="0"/>
          <w:sz w:val="32"/>
          <w:szCs w:val="32"/>
          <w:lang w:val="en-US" w:eastAsia="zh-CN"/>
        </w:rPr>
        <w:t>事中事后监管信息化水平，推进部门间联合监管机制建设，创新监管方式，深化无感化监管措施。提升涉企检查规范化水平，</w:t>
      </w:r>
      <w:r>
        <w:rPr>
          <w:rFonts w:hint="eastAsia" w:ascii="仿宋_GB2312" w:hAnsi="仿宋_GB2312" w:eastAsia="仿宋_GB2312" w:cs="仿宋_GB2312"/>
          <w:sz w:val="32"/>
          <w:szCs w:val="32"/>
          <w:lang w:val="en-US" w:eastAsia="zh-CN"/>
        </w:rPr>
        <w:t>加强重大行政执法决定法制审核，开展执法案卷评查工作。</w:t>
      </w:r>
    </w:p>
    <w:p w14:paraId="55D3D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（五）强化普法责任制落实和依法治理工作。</w:t>
      </w:r>
      <w:r>
        <w:rPr>
          <w:rFonts w:hint="eastAsia" w:ascii="仿宋_GB2312" w:hAnsi="仿宋_GB2312" w:eastAsia="仿宋_GB2312" w:cs="仿宋_GB2312"/>
          <w:sz w:val="32"/>
          <w:szCs w:val="32"/>
          <w:lang w:val="en-US" w:eastAsia="zh-CN"/>
        </w:rPr>
        <w:t>制定2026年度普法工作计划和普法责任清单，组织开展优化营商环境宣传月、民法典宣传月、宪法宣传周、济南市旅游促进条例等主题法治宣传活动。深入开展法治为民办实事项目，创新开展“泉城旅游法律大讲堂”活动。加强局属单位法治文化阵地建设，鼓励开展法治文艺作品创作和演出活动，利用局官方网站、新媒体开展普法宣传。</w:t>
      </w:r>
    </w:p>
    <w:p w14:paraId="48D36550"/>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楷体简体">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8A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4F7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4F7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F05E2"/>
    <w:rsid w:val="2FAF1101"/>
    <w:rsid w:val="3F175E1E"/>
    <w:rsid w:val="47EFCEE5"/>
    <w:rsid w:val="483C58E5"/>
    <w:rsid w:val="65FF4196"/>
    <w:rsid w:val="6F57FB3D"/>
    <w:rsid w:val="6FFF66DA"/>
    <w:rsid w:val="757E7113"/>
    <w:rsid w:val="7D8DF31A"/>
    <w:rsid w:val="7E77A1EC"/>
    <w:rsid w:val="7FEEA968"/>
    <w:rsid w:val="7FFDD20C"/>
    <w:rsid w:val="BD7F8CB9"/>
    <w:rsid w:val="BEF51816"/>
    <w:rsid w:val="BFEEEFCD"/>
    <w:rsid w:val="D7D339CB"/>
    <w:rsid w:val="D7FF05E2"/>
    <w:rsid w:val="DE5DF685"/>
    <w:rsid w:val="F79DE6B5"/>
    <w:rsid w:val="FC5F59E2"/>
    <w:rsid w:val="FFDF67A4"/>
    <w:rsid w:val="FFFEC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宋体"/>
      <w:sz w:val="21"/>
      <w:szCs w:val="24"/>
    </w:rPr>
  </w:style>
  <w:style w:type="paragraph" w:styleId="3">
    <w:name w:val="Body Text Indent"/>
    <w:basedOn w:val="1"/>
    <w:next w:val="2"/>
    <w:semiHidden/>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6"/>
    <w:semiHidden/>
    <w:qFormat/>
    <w:uiPriority w:val="99"/>
    <w:pPr>
      <w:spacing w:after="200"/>
      <w:ind w:firstLine="420" w:firstLineChars="200"/>
    </w:p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UserStyle_0"/>
    <w:basedOn w:val="10"/>
    <w:next w:val="1"/>
    <w:qFormat/>
    <w:uiPriority w:val="0"/>
    <w:pPr>
      <w:ind w:firstLine="200" w:firstLineChars="200"/>
    </w:pPr>
    <w:rPr>
      <w:rFonts w:ascii="Calibri" w:hAnsi="Calibri" w:eastAsia="宋体" w:cs="Times New Roman"/>
      <w:color w:val="000000"/>
      <w:szCs w:val="21"/>
    </w:rPr>
  </w:style>
  <w:style w:type="paragraph" w:customStyle="1" w:styleId="10">
    <w:name w:val="UserStyle_1"/>
    <w:basedOn w:val="1"/>
    <w:next w:val="9"/>
    <w:qFormat/>
    <w:uiPriority w:val="0"/>
    <w:pPr>
      <w:ind w:left="420" w:leftChars="20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4562</Words>
  <Characters>4672</Characters>
  <Lines>0</Lines>
  <Paragraphs>0</Paragraphs>
  <TotalTime>35</TotalTime>
  <ScaleCrop>false</ScaleCrop>
  <LinksUpToDate>false</LinksUpToDate>
  <CharactersWithSpaces>4677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2025-12-18T16:36:00Z</dcterms:created>
  <dc:creator>jnak</dc:creator>
  <cp:lastModifiedBy>高原青</cp:lastModifiedBy>
  <cp:lastPrinted>2025-12-18T19:04:00Z</cp:lastPrinted>
  <dcterms:modified xsi:type="dcterms:W3CDTF">2026-01-14T02:24:06Z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eyJoZGlkIjoiMGY1MDVjNTAyMWRjM2M2Yjk0ZDEzN2RkYjM0NzNmOGQiLCJ1c2VySWQiOiIxNDk5MDU0NTYwIn0=</vt:lpwstr>
  </property>
  <property fmtid="{D5CDD505-2E9C-101B-9397-08002B2CF9AE}" pid="4" name="ICV">
    <vt:lpwstr>B11566DDBF8B46629A0ADACDF95991AB_12</vt:lpwstr>
  </property>
</Properties>
</file>